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contextualSpacing/>
        <w:jc w:val="right"/>
        <w:spacing w:after="0" w:line="240" w:lineRule="auto"/>
        <w:rPr>
          <w:rFonts w:ascii="PT Astra Serif" w:hAnsi="PT Astra Serif" w:cs="PT Astra Serif"/>
          <w:bCs/>
          <w:sz w:val="28"/>
          <w:szCs w:val="28"/>
        </w:rPr>
        <w:outlineLvl w:val="0"/>
      </w:pPr>
      <w:r>
        <w:rPr>
          <w:rFonts w:ascii="PT Astra Serif" w:hAnsi="PT Astra Serif" w:cs="PT Astra Serif"/>
          <w:bCs/>
          <w:sz w:val="28"/>
          <w:szCs w:val="28"/>
        </w:rPr>
        <w:t xml:space="preserve">Проект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jc w:val="center"/>
        <w:spacing w:after="0" w:line="240" w:lineRule="auto"/>
        <w:rPr>
          <w:rFonts w:ascii="PT Astra Serif" w:hAnsi="PT Astra Serif" w:cs="PT Astra Serif"/>
          <w:bCs/>
          <w:sz w:val="28"/>
          <w:szCs w:val="28"/>
        </w:rPr>
        <w:outlineLvl w:val="0"/>
      </w:pPr>
      <w:r>
        <w:rPr>
          <w:rFonts w:ascii="PT Astra Serif" w:hAnsi="PT Astra Serif" w:cs="PT Astra Serif"/>
          <w:bCs/>
          <w:sz w:val="28"/>
          <w:szCs w:val="28"/>
        </w:rPr>
        <w:t xml:space="preserve">ЗАКОН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jc w:val="center"/>
        <w:spacing w:after="0" w:line="240" w:lineRule="auto"/>
        <w:rPr>
          <w:rFonts w:ascii="PT Astra Serif" w:hAnsi="PT Astra Serif" w:cs="PT Astra Serif"/>
          <w:bCs/>
          <w:sz w:val="28"/>
          <w:szCs w:val="28"/>
        </w:rPr>
        <w:outlineLvl w:val="0"/>
      </w:pPr>
      <w:r>
        <w:rPr>
          <w:rFonts w:ascii="PT Astra Serif" w:hAnsi="PT Astra Serif" w:cs="PT Astra Serif"/>
          <w:bCs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jc w:val="center"/>
        <w:spacing w:after="0" w:line="240" w:lineRule="auto"/>
        <w:rPr>
          <w:rFonts w:ascii="PT Astra Serif" w:hAnsi="PT Astra Serif" w:cs="PT Astra Serif"/>
          <w:b/>
          <w:bCs/>
          <w:sz w:val="28"/>
          <w:szCs w:val="28"/>
        </w:rPr>
        <w:outlineLvl w:val="0"/>
      </w:pP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47"/>
        <w:contextualSpacing/>
        <w:jc w:val="center"/>
        <w:spacing w:after="0" w:line="240" w:lineRule="auto"/>
        <w:rPr>
          <w:rFonts w:ascii="PT Astra Serif" w:hAnsi="PT Astra Serif" w:cs="PT Astra Serif"/>
          <w:b/>
          <w:sz w:val="28"/>
          <w:szCs w:val="28"/>
        </w:rPr>
        <w:outlineLvl w:val="0"/>
      </w:pPr>
      <w:r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закон Алтайского края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47"/>
        <w:contextualSpacing/>
        <w:jc w:val="center"/>
        <w:spacing w:after="0" w:line="240" w:lineRule="auto"/>
        <w:rPr>
          <w:rFonts w:ascii="PT Astra Serif" w:hAnsi="PT Astra Serif" w:cs="PT Astra Serif"/>
          <w:b/>
          <w:sz w:val="28"/>
          <w:szCs w:val="28"/>
        </w:rPr>
        <w:outlineLvl w:val="0"/>
      </w:pPr>
      <w:r>
        <w:rPr>
          <w:rFonts w:ascii="PT Astra Serif" w:hAnsi="PT Astra Serif" w:cs="PT Astra Serif"/>
          <w:b/>
          <w:sz w:val="28"/>
          <w:szCs w:val="28"/>
        </w:rPr>
        <w:t xml:space="preserve">«О порядке управления и распоряжения государственной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jc w:val="center"/>
        <w:spacing w:after="0" w:line="240" w:lineRule="auto"/>
        <w:rPr>
          <w:rFonts w:ascii="PT Astra Serif" w:hAnsi="PT Astra Serif" w:cs="PT Astra Serif"/>
          <w:b/>
          <w:bCs/>
          <w:sz w:val="28"/>
          <w:szCs w:val="28"/>
        </w:rPr>
        <w:outlineLvl w:val="0"/>
      </w:pPr>
      <w:r>
        <w:rPr>
          <w:rFonts w:ascii="PT Astra Serif" w:hAnsi="PT Astra Serif" w:cs="PT Astra Serif"/>
          <w:b/>
          <w:sz w:val="28"/>
          <w:szCs w:val="28"/>
        </w:rPr>
        <w:t xml:space="preserve">собственностью Алтайского края» 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540"/>
        <w:jc w:val="both"/>
        <w:spacing w:after="0" w:line="240" w:lineRule="auto"/>
        <w:rPr>
          <w:rFonts w:ascii="PT Astra Serif" w:hAnsi="PT Astra Serif" w:cs="PT Astra Serif"/>
          <w:b/>
          <w:bCs/>
          <w:sz w:val="28"/>
          <w:szCs w:val="28"/>
        </w:rPr>
        <w:outlineLvl w:val="0"/>
      </w:pP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rPr>
          <w:rFonts w:ascii="PT Astra Serif" w:hAnsi="PT Astra Serif" w:cs="PT Astra Serif"/>
          <w:b/>
          <w:bCs/>
          <w:sz w:val="28"/>
          <w:szCs w:val="28"/>
        </w:rPr>
        <w:outlineLvl w:val="0"/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Статья 1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Внести в </w:t>
      </w:r>
      <w:r>
        <w:rPr>
          <w:rFonts w:ascii="PT Astra Serif" w:hAnsi="PT Astra Serif" w:cs="PT Astra Serif"/>
          <w:sz w:val="28"/>
          <w:szCs w:val="28"/>
        </w:rPr>
        <w:t xml:space="preserve">з</w:t>
      </w:r>
      <w:r>
        <w:rPr>
          <w:rFonts w:ascii="PT Astra Serif" w:hAnsi="PT Astra Serif" w:cs="PT Astra Serif"/>
          <w:sz w:val="28"/>
          <w:szCs w:val="28"/>
        </w:rPr>
        <w:t xml:space="preserve">акон Алтайского края от 14 сентября 2006 года № 98-ЗС </w:t>
      </w:r>
      <w:r>
        <w:rPr>
          <w:rFonts w:ascii="PT Astra Serif" w:hAnsi="PT Astra Serif" w:cs="PT Astra Serif"/>
          <w:sz w:val="28"/>
          <w:szCs w:val="28"/>
        </w:rPr>
        <w:t xml:space="preserve">                  </w:t>
      </w:r>
      <w:r>
        <w:rPr>
          <w:rFonts w:ascii="PT Astra Serif" w:hAnsi="PT Astra Serif" w:cs="PT Astra Serif"/>
          <w:sz w:val="28"/>
          <w:szCs w:val="28"/>
        </w:rPr>
        <w:t xml:space="preserve">«О порядке управления и распоряжения государственной собственностью Алтайского края» (Сбор</w:t>
      </w:r>
      <w:r>
        <w:rPr>
          <w:rFonts w:ascii="PT Astra Serif" w:hAnsi="PT Astra Serif" w:cs="PT Astra Serif"/>
          <w:sz w:val="28"/>
          <w:szCs w:val="28"/>
        </w:rPr>
        <w:t xml:space="preserve">ник законодательства Алтайского края, 2006, № 125, часть III; 2009, № 158, часть I; 2011, № 183, часть I; 2012, № 192, часть I; 2015, № 229, часть I; Официальный интернет-портал правовой информации (www.pravo.gov.ru), 7 сентября 2017 года, 7 июня 2018 года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              </w:t>
      </w:r>
      <w:r>
        <w:rPr>
          <w:rFonts w:ascii="PT Astra Serif" w:hAnsi="PT Astra Serif" w:cs="PT Astra Serif"/>
          <w:sz w:val="28"/>
          <w:szCs w:val="28"/>
        </w:rPr>
        <w:t xml:space="preserve">24 декабря 2019 года, 10 марта 2021 года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7 октября 2022 года</w:t>
      </w:r>
      <w:r>
        <w:rPr>
          <w:rFonts w:ascii="PT Astra Serif" w:hAnsi="PT Astra Serif" w:cs="PT Astra Serif"/>
          <w:sz w:val="28"/>
          <w:szCs w:val="28"/>
        </w:rPr>
        <w:t xml:space="preserve">) следующие изменения:</w:t>
      </w:r>
      <w:r>
        <w:rPr>
          <w:rFonts w:ascii="PT Astra Serif" w:hAnsi="PT Astra Serif" w:cs="PT Astra Serif"/>
        </w:rPr>
      </w:r>
    </w:p>
    <w:p>
      <w:pPr>
        <w:pStyle w:val="847"/>
        <w:numPr>
          <w:ilvl w:val="0"/>
          <w:numId w:val="4"/>
        </w:numPr>
        <w:contextualSpacing/>
        <w:ind w:left="993" w:hanging="285"/>
        <w:jc w:val="both"/>
        <w:spacing w:after="0" w:line="240" w:lineRule="auto"/>
        <w:tabs>
          <w:tab w:val="left" w:pos="1134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</w:rPr>
      </w:r>
      <w:bookmarkStart w:id="0" w:name="_Hlt143696620"/>
      <w:r>
        <w:rPr>
          <w:rFonts w:ascii="PT Astra Serif" w:hAnsi="PT Astra Serif" w:cs="PT Astra Serif"/>
        </w:rPr>
      </w:r>
      <w:bookmarkEnd w:id="0"/>
      <w:r>
        <w:rPr>
          <w:rFonts w:ascii="PT Astra Serif" w:hAnsi="PT Astra Serif" w:cs="PT Astra Serif"/>
        </w:rPr>
      </w:r>
      <w:bookmarkStart w:id="1" w:name="_Hlt143696621"/>
      <w:r>
        <w:rPr>
          <w:rFonts w:ascii="PT Astra Serif" w:hAnsi="PT Astra Serif" w:cs="PT Astra Serif"/>
        </w:rPr>
      </w:r>
      <w:bookmarkEnd w:id="1"/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в статье</w:t>
      </w:r>
      <w:r>
        <w:rPr>
          <w:rFonts w:ascii="PT Astra Serif" w:hAnsi="PT Astra Serif" w:cs="PT Astra Serif"/>
          <w:sz w:val="28"/>
          <w:szCs w:val="28"/>
        </w:rPr>
        <w:t xml:space="preserve"> 6: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left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>
        <w:rPr>
          <w:rFonts w:ascii="PT Astra Serif" w:hAnsi="PT Astra Serif" w:cs="PT Astra Serif"/>
          <w:sz w:val="28"/>
          <w:szCs w:val="28"/>
        </w:rPr>
        <w:t xml:space="preserve">в пункте 1: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подпункте «в»</w:t>
      </w:r>
      <w:r>
        <w:rPr>
          <w:rFonts w:ascii="PT Astra Serif" w:hAnsi="PT Astra Serif" w:cs="PT Astra Serif"/>
          <w:sz w:val="28"/>
          <w:szCs w:val="28"/>
        </w:rPr>
        <w:t xml:space="preserve"> слова «иных лиц» заменить словами «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за исключением случаев, </w:t>
      </w:r>
      <w:r>
        <w:rPr>
          <w:rFonts w:ascii="PT Astra Serif" w:hAnsi="PT Astra Serif" w:cs="PT Astra Serif"/>
          <w:sz w:val="28"/>
          <w:szCs w:val="28"/>
        </w:rPr>
        <w:t xml:space="preserve">определенных пунктом 2 статьи 5 и </w:t>
      </w:r>
      <w:r>
        <w:rPr>
          <w:rFonts w:ascii="PT Astra Serif" w:hAnsi="PT Astra Serif" w:cs="PT Astra Serif"/>
          <w:sz w:val="28"/>
          <w:szCs w:val="28"/>
        </w:rPr>
        <w:t xml:space="preserve">пункт</w:t>
      </w:r>
      <w:r>
        <w:rPr>
          <w:rFonts w:ascii="PT Astra Serif" w:hAnsi="PT Astra Serif" w:cs="PT Astra Serif"/>
          <w:sz w:val="28"/>
          <w:szCs w:val="28"/>
        </w:rPr>
        <w:t xml:space="preserve">ом</w:t>
      </w:r>
      <w:r>
        <w:rPr>
          <w:rFonts w:ascii="PT Astra Serif" w:hAnsi="PT Astra Serif" w:cs="PT Astra Serif"/>
          <w:sz w:val="28"/>
          <w:szCs w:val="28"/>
        </w:rPr>
        <w:t xml:space="preserve"> 3 статьи 7 настоящего Закона;</w:t>
      </w:r>
      <w:r>
        <w:rPr>
          <w:rFonts w:ascii="PT Astra Serif" w:hAnsi="PT Astra Serif" w:cs="PT Astra Serif"/>
          <w:sz w:val="28"/>
          <w:szCs w:val="28"/>
        </w:rPr>
        <w:t xml:space="preserve">»;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подпункт «г»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изложить в следующей редакции: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«г) об отчуждении имущества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, за исключением </w:t>
      </w:r>
      <w:r>
        <w:rPr>
          <w:rFonts w:ascii="PT Astra Serif" w:hAnsi="PT Astra Serif" w:cs="PT Astra Serif"/>
          <w:sz w:val="28"/>
          <w:szCs w:val="28"/>
        </w:rPr>
        <w:t xml:space="preserve">случаев, определенных </w:t>
      </w:r>
      <w:r>
        <w:rPr>
          <w:rFonts w:ascii="PT Astra Serif" w:hAnsi="PT Astra Serif" w:cs="PT Astra Serif"/>
          <w:sz w:val="28"/>
          <w:szCs w:val="28"/>
        </w:rPr>
        <w:t xml:space="preserve">пунктом 2 статьи 5 и</w:t>
      </w:r>
      <w:r>
        <w:rPr>
          <w:rFonts w:ascii="PT Astra Serif" w:hAnsi="PT Astra Serif" w:cs="PT Astra Serif"/>
          <w:sz w:val="28"/>
          <w:szCs w:val="28"/>
        </w:rPr>
        <w:t xml:space="preserve"> пунктом 3 статьи 7 настоящего Закона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  <w:t xml:space="preserve">»;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</w:t>
      </w:r>
      <w:r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пункт</w:t>
      </w:r>
      <w:r>
        <w:rPr>
          <w:rFonts w:ascii="PT Astra Serif" w:hAnsi="PT Astra Serif" w:cs="PT Astra Serif"/>
          <w:sz w:val="28"/>
          <w:szCs w:val="28"/>
        </w:rPr>
        <w:t xml:space="preserve"> 2 дополнить подпункта</w:t>
      </w:r>
      <w:r>
        <w:rPr>
          <w:rFonts w:ascii="PT Astra Serif" w:hAnsi="PT Astra Serif" w:cs="PT Astra Serif"/>
          <w:sz w:val="28"/>
          <w:szCs w:val="28"/>
        </w:rPr>
        <w:t xml:space="preserve">м</w:t>
      </w:r>
      <w:r>
        <w:rPr>
          <w:rFonts w:ascii="PT Astra Serif" w:hAnsi="PT Astra Serif" w:cs="PT Astra Serif"/>
          <w:sz w:val="28"/>
          <w:szCs w:val="28"/>
        </w:rPr>
        <w:t xml:space="preserve">и</w:t>
      </w:r>
      <w:r>
        <w:rPr>
          <w:rFonts w:ascii="PT Astra Serif" w:hAnsi="PT Astra Serif" w:cs="PT Astra Serif"/>
          <w:sz w:val="28"/>
          <w:szCs w:val="28"/>
        </w:rPr>
        <w:t xml:space="preserve"> «п» </w:t>
      </w:r>
      <w:r>
        <w:rPr>
          <w:rFonts w:ascii="PT Astra Serif" w:hAnsi="PT Astra Serif" w:cs="PT Astra Serif"/>
          <w:sz w:val="28"/>
          <w:szCs w:val="28"/>
        </w:rPr>
        <w:t xml:space="preserve">и «р» </w:t>
      </w:r>
      <w:r>
        <w:rPr>
          <w:rFonts w:ascii="PT Astra Serif" w:hAnsi="PT Astra Serif" w:cs="PT Astra Serif"/>
          <w:sz w:val="28"/>
          <w:szCs w:val="28"/>
        </w:rPr>
        <w:t xml:space="preserve">следующего содержания: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«п) продажи государственного имущества Алтайского края, находящегося в хозяйственном ведении краевых государственных унитарных предприятий и в оперативном управлении </w:t>
      </w:r>
      <w:r>
        <w:rPr>
          <w:rFonts w:ascii="PT Astra Serif" w:hAnsi="PT Astra Serif" w:cs="PT Astra Serif"/>
          <w:sz w:val="28"/>
          <w:szCs w:val="28"/>
        </w:rPr>
        <w:t xml:space="preserve">краевых казенных предприятий, </w:t>
      </w:r>
      <w:r>
        <w:rPr>
          <w:rFonts w:ascii="PT Astra Serif" w:hAnsi="PT Astra Serif" w:cs="PT Astra Serif"/>
          <w:sz w:val="28"/>
          <w:szCs w:val="28"/>
        </w:rPr>
        <w:t xml:space="preserve">краевых государственных учреждений</w:t>
      </w:r>
      <w:r>
        <w:rPr>
          <w:rFonts w:ascii="PT Astra Serif" w:hAnsi="PT Astra Serif" w:cs="PT Astra Serif"/>
          <w:sz w:val="28"/>
          <w:szCs w:val="28"/>
        </w:rPr>
        <w:t xml:space="preserve"> (автономных, бюджетных, казенных)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р) согласования совершения краевыми государственными унитарными предприятиями, краевыми казенными предприятиями сделок, связанных </w:t>
        <w:br w:type="textWrapping" w:clear="all"/>
        <w:t xml:space="preserve">с заимствованиями;»;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left="993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47"/>
        <w:numPr>
          <w:ilvl w:val="0"/>
          <w:numId w:val="4"/>
        </w:numPr>
        <w:contextualSpacing/>
        <w:ind w:left="0" w:firstLine="708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статье 7: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</w:t>
      </w:r>
      <w:r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пункт 4 дополнить словами «, если иное не установлено правовым актом Правительства Алтайского края»;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</w:t>
      </w:r>
      <w:r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пункт</w:t>
      </w:r>
      <w:r>
        <w:rPr>
          <w:rFonts w:ascii="PT Astra Serif" w:hAnsi="PT Astra Serif" w:cs="PT Astra Serif"/>
          <w:sz w:val="28"/>
          <w:szCs w:val="28"/>
        </w:rPr>
        <w:t xml:space="preserve"> 5 </w:t>
      </w:r>
      <w:r>
        <w:rPr>
          <w:rFonts w:ascii="PT Astra Serif" w:hAnsi="PT Astra Serif" w:cs="PT Astra Serif"/>
          <w:sz w:val="28"/>
          <w:szCs w:val="28"/>
        </w:rPr>
        <w:t xml:space="preserve">дополнить словами «, если иное не установлено правовым актом Правительства Алтайского края»;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</w:t>
      </w:r>
      <w:r>
        <w:rPr>
          <w:rFonts w:ascii="PT Astra Serif" w:hAnsi="PT Astra Serif" w:cs="PT Astra Serif"/>
          <w:sz w:val="28"/>
          <w:szCs w:val="28"/>
        </w:rPr>
        <w:t xml:space="preserve">) абзац третий подпункта «г» пункта 6 дополнить словами «, за исключением сделок с объектами государственного жилищного фонда»; 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</w:t>
      </w:r>
      <w:r>
        <w:rPr>
          <w:rFonts w:ascii="PT Astra Serif" w:hAnsi="PT Astra Serif" w:cs="PT Astra Serif"/>
          <w:sz w:val="28"/>
          <w:szCs w:val="28"/>
        </w:rPr>
        <w:t xml:space="preserve">) в подпункте «б» пункта 7: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 второй дополнить словами «, за исключением сделок с объектами государственного жилищного фонда»;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абзац третий дополнить словами «, за исключением сделок с объектами государственного жилищного фонда»;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47"/>
        <w:numPr>
          <w:ilvl w:val="0"/>
          <w:numId w:val="4"/>
        </w:numPr>
        <w:contextualSpacing/>
        <w:ind w:left="0" w:firstLine="708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четвертый подпункта «</w:t>
      </w:r>
      <w:r>
        <w:rPr>
          <w:rFonts w:ascii="PT Astra Serif" w:hAnsi="PT Astra Serif" w:cs="PT Astra Serif"/>
          <w:sz w:val="28"/>
          <w:szCs w:val="28"/>
        </w:rPr>
        <w:t xml:space="preserve">а» пункта 5 статьи 8</w:t>
      </w:r>
      <w:r>
        <w:rPr>
          <w:rFonts w:ascii="PT Astra Serif" w:hAnsi="PT Astra Serif" w:cs="PT Astra Serif"/>
          <w:sz w:val="28"/>
          <w:szCs w:val="28"/>
        </w:rPr>
        <w:t xml:space="preserve"> дополнить словами «сохранность</w:t>
      </w:r>
      <w:r>
        <w:rPr>
          <w:rFonts w:ascii="PT Astra Serif" w:hAnsi="PT Astra Serif" w:cs="PT Astra Serif"/>
          <w:sz w:val="28"/>
          <w:szCs w:val="28"/>
        </w:rPr>
        <w:t xml:space="preserve">ю</w:t>
      </w:r>
      <w:r>
        <w:rPr>
          <w:rFonts w:ascii="PT Astra Serif" w:hAnsi="PT Astra Serif" w:cs="PT Astra Serif"/>
          <w:sz w:val="28"/>
          <w:szCs w:val="28"/>
        </w:rPr>
        <w:t xml:space="preserve"> и»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.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left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54"/>
        <w:contextualSpacing/>
        <w:ind w:firstLine="709"/>
        <w:jc w:val="both"/>
        <w:rPr>
          <w:rFonts w:ascii="PT Astra Serif" w:hAnsi="PT Astra Serif" w:cs="PT Astra Serif"/>
          <w:sz w:val="28"/>
          <w:szCs w:val="28"/>
        </w:rPr>
        <w:outlineLvl w:val="0"/>
      </w:pPr>
      <w:r>
        <w:rPr>
          <w:rFonts w:ascii="PT Astra Serif" w:hAnsi="PT Astra Serif" w:cs="PT Astra Serif"/>
          <w:sz w:val="28"/>
          <w:szCs w:val="28"/>
        </w:rPr>
        <w:t xml:space="preserve">Статья 2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54"/>
        <w:contextualSpacing/>
        <w:ind w:firstLine="709"/>
        <w:jc w:val="both"/>
        <w:rPr>
          <w:rFonts w:ascii="PT Astra Serif" w:hAnsi="PT Astra Serif" w:cs="PT Astra Serif"/>
          <w:sz w:val="28"/>
          <w:szCs w:val="28"/>
        </w:rPr>
        <w:outlineLvl w:val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20"/>
        <w:jc w:val="both"/>
        <w:spacing w:after="0" w:line="240" w:lineRule="auto"/>
        <w:tabs>
          <w:tab w:val="left" w:pos="0" w:leader="none"/>
          <w:tab w:val="left" w:pos="540" w:leader="none"/>
          <w:tab w:val="left" w:pos="709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Настоящий Закон вступает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 силу </w:t>
      </w:r>
      <w:r>
        <w:rPr>
          <w:rFonts w:ascii="PT Astra Serif" w:hAnsi="PT Astra Serif" w:cs="PT Astra Serif"/>
          <w:sz w:val="28"/>
          <w:szCs w:val="28"/>
        </w:rPr>
        <w:t xml:space="preserve">со </w:t>
      </w:r>
      <w:r>
        <w:rPr>
          <w:rFonts w:ascii="PT Astra Serif" w:hAnsi="PT Astra Serif" w:cs="PT Astra Serif"/>
          <w:sz w:val="28"/>
          <w:szCs w:val="28"/>
        </w:rPr>
        <w:t xml:space="preserve">дня его официального опубликования.</w:t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847"/>
        <w:contextualSpacing/>
        <w:ind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1"/>
        <w:gridCol w:w="26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1" w:type="dxa"/>
            <w:vAlign w:val="top"/>
            <w:textDirection w:val="lrTb"/>
            <w:noWrap w:val="false"/>
          </w:tcPr>
          <w:p>
            <w:pPr>
              <w:pStyle w:val="847"/>
              <w:contextualSpacing/>
              <w:jc w:val="both"/>
              <w:spacing w:after="0" w:line="240" w:lineRule="auto"/>
              <w:tabs>
                <w:tab w:val="left" w:pos="1141" w:leader="none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Губернатор Алтайского края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54" w:type="dxa"/>
            <w:vAlign w:val="top"/>
            <w:textDirection w:val="lrTb"/>
            <w:noWrap w:val="false"/>
          </w:tcPr>
          <w:p>
            <w:pPr>
              <w:pStyle w:val="847"/>
              <w:contextualSpacing/>
              <w:jc w:val="right"/>
              <w:spacing w:after="0" w:line="240" w:lineRule="auto"/>
              <w:tabs>
                <w:tab w:val="left" w:pos="1435" w:leader="none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В.П. Томенко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contextualSpacing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sectPr>
      <w:headerReference w:type="default" r:id="rId9"/>
      <w:footnotePr/>
      <w:endnotePr/>
      <w:type w:val="nextPage"/>
      <w:pgSz w:w="11905" w:h="16838" w:orient="portrait"/>
      <w:pgMar w:top="1134" w:right="567" w:bottom="1134" w:left="1701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jc w:val="right"/>
    </w:pPr>
    <w:r/>
    <w:r/>
  </w:p>
  <w:p>
    <w:pPr>
      <w:pStyle w:val="85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ru-RU"/>
      </w:rPr>
      <w:t xml:space="preserve"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</w:r>
    <w:r/>
  </w:p>
  <w:p>
    <w:pPr>
      <w:pStyle w:val="8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4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4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847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847"/>
        <w:ind w:left="1083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47"/>
        <w:ind w:left="213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47"/>
        <w:ind w:left="320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47"/>
        <w:ind w:left="391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47"/>
        <w:ind w:left="498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47"/>
        <w:ind w:left="568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47"/>
        <w:ind w:left="675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47"/>
        <w:ind w:left="7824" w:hanging="2160"/>
      </w:p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847"/>
        <w:ind w:left="319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391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463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535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607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679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751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823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895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4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47"/>
        <w:ind w:left="567" w:firstLine="568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7"/>
    <w:next w:val="847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link w:val="669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basedOn w:val="847"/>
    <w:next w:val="847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link w:val="671"/>
    <w:uiPriority w:val="9"/>
    <w:rPr>
      <w:rFonts w:ascii="Arial" w:hAnsi="Arial" w:eastAsia="Arial" w:cs="Arial"/>
      <w:sz w:val="34"/>
    </w:rPr>
  </w:style>
  <w:style w:type="paragraph" w:styleId="673">
    <w:name w:val="Heading 3"/>
    <w:basedOn w:val="847"/>
    <w:next w:val="847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link w:val="673"/>
    <w:uiPriority w:val="9"/>
    <w:rPr>
      <w:rFonts w:ascii="Arial" w:hAnsi="Arial" w:eastAsia="Arial" w:cs="Arial"/>
      <w:sz w:val="30"/>
      <w:szCs w:val="30"/>
    </w:rPr>
  </w:style>
  <w:style w:type="paragraph" w:styleId="675">
    <w:name w:val="Heading 4"/>
    <w:basedOn w:val="847"/>
    <w:next w:val="847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7"/>
    <w:next w:val="847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7"/>
    <w:next w:val="847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7"/>
    <w:next w:val="847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7"/>
    <w:next w:val="847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7"/>
    <w:next w:val="847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47"/>
    <w:uiPriority w:val="34"/>
    <w:qFormat/>
    <w:pPr>
      <w:contextualSpacing/>
      <w:ind w:left="720"/>
    </w:p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7"/>
    <w:next w:val="847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link w:val="689"/>
    <w:uiPriority w:val="10"/>
    <w:rPr>
      <w:sz w:val="48"/>
      <w:szCs w:val="48"/>
    </w:rPr>
  </w:style>
  <w:style w:type="paragraph" w:styleId="691">
    <w:name w:val="Subtitle"/>
    <w:basedOn w:val="847"/>
    <w:next w:val="847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link w:val="691"/>
    <w:uiPriority w:val="11"/>
    <w:rPr>
      <w:sz w:val="24"/>
      <w:szCs w:val="24"/>
    </w:rPr>
  </w:style>
  <w:style w:type="paragraph" w:styleId="693">
    <w:name w:val="Quote"/>
    <w:basedOn w:val="847"/>
    <w:next w:val="847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7"/>
    <w:next w:val="847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paragraph" w:styleId="697">
    <w:name w:val="Header"/>
    <w:basedOn w:val="847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Header Char"/>
    <w:link w:val="697"/>
    <w:uiPriority w:val="99"/>
  </w:style>
  <w:style w:type="paragraph" w:styleId="699">
    <w:name w:val="Footer"/>
    <w:basedOn w:val="847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Footer Char"/>
    <w:link w:val="699"/>
    <w:uiPriority w:val="99"/>
  </w:style>
  <w:style w:type="paragraph" w:styleId="701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699"/>
    <w:uiPriority w:val="99"/>
  </w:style>
  <w:style w:type="table" w:styleId="70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next w:val="847"/>
    <w:link w:val="847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848">
    <w:name w:val="Основной шрифт абзаца"/>
    <w:next w:val="848"/>
    <w:link w:val="847"/>
    <w:uiPriority w:val="1"/>
    <w:unhideWhenUsed/>
  </w:style>
  <w:style w:type="table" w:styleId="849">
    <w:name w:val="Обычная таблица"/>
    <w:next w:val="849"/>
    <w:link w:val="847"/>
    <w:uiPriority w:val="99"/>
    <w:semiHidden/>
    <w:unhideWhenUsed/>
    <w:tblPr/>
  </w:style>
  <w:style w:type="numbering" w:styleId="850">
    <w:name w:val="Нет списка"/>
    <w:next w:val="850"/>
    <w:link w:val="847"/>
    <w:uiPriority w:val="99"/>
    <w:semiHidden/>
    <w:unhideWhenUsed/>
  </w:style>
  <w:style w:type="paragraph" w:styleId="851">
    <w:name w:val="Абзац списка"/>
    <w:basedOn w:val="847"/>
    <w:next w:val="851"/>
    <w:link w:val="847"/>
    <w:uiPriority w:val="34"/>
    <w:qFormat/>
    <w:pPr>
      <w:contextualSpacing/>
      <w:ind w:left="720"/>
    </w:pPr>
  </w:style>
  <w:style w:type="table" w:styleId="852">
    <w:name w:val="Сетка таблицы"/>
    <w:basedOn w:val="849"/>
    <w:next w:val="852"/>
    <w:link w:val="847"/>
    <w:uiPriority w:val="39"/>
    <w:pPr>
      <w:spacing w:after="0" w:line="240" w:lineRule="auto"/>
    </w:pPr>
    <w:tblPr/>
  </w:style>
  <w:style w:type="paragraph" w:styleId="853">
    <w:name w:val="ConsPlusNormal"/>
    <w:next w:val="853"/>
    <w:link w:val="847"/>
    <w:pPr>
      <w:widowControl w:val="off"/>
    </w:pPr>
    <w:rPr>
      <w:rFonts w:eastAsia="Times New Roman" w:cs="Calibri"/>
      <w:sz w:val="22"/>
      <w:lang w:val="ru-RU" w:eastAsia="ru-RU" w:bidi="ar-SA"/>
    </w:rPr>
  </w:style>
  <w:style w:type="paragraph" w:styleId="854">
    <w:name w:val="ConsPlusTitle"/>
    <w:next w:val="854"/>
    <w:link w:val="847"/>
    <w:pPr>
      <w:widowControl w:val="off"/>
    </w:pPr>
    <w:rPr>
      <w:rFonts w:eastAsia="Times New Roman" w:cs="Calibri"/>
      <w:b/>
      <w:sz w:val="22"/>
      <w:lang w:val="ru-RU" w:eastAsia="ru-RU" w:bidi="ar-SA"/>
    </w:rPr>
  </w:style>
  <w:style w:type="paragraph" w:styleId="855">
    <w:name w:val="Текст выноски"/>
    <w:basedOn w:val="847"/>
    <w:next w:val="855"/>
    <w:link w:val="856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styleId="856">
    <w:name w:val="Текст выноски Знак"/>
    <w:next w:val="856"/>
    <w:link w:val="855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57">
    <w:name w:val="Верхний колонтитул"/>
    <w:basedOn w:val="847"/>
    <w:next w:val="857"/>
    <w:link w:val="85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8">
    <w:name w:val="Верхний колонтитул Знак"/>
    <w:next w:val="858"/>
    <w:link w:val="857"/>
    <w:uiPriority w:val="99"/>
    <w:rPr>
      <w:sz w:val="22"/>
      <w:szCs w:val="22"/>
      <w:lang w:eastAsia="en-US"/>
    </w:rPr>
  </w:style>
  <w:style w:type="paragraph" w:styleId="859">
    <w:name w:val="Нижний колонтитул"/>
    <w:basedOn w:val="847"/>
    <w:next w:val="859"/>
    <w:link w:val="86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60">
    <w:name w:val="Нижний колонтитул Знак"/>
    <w:next w:val="860"/>
    <w:link w:val="859"/>
    <w:uiPriority w:val="99"/>
    <w:rPr>
      <w:sz w:val="22"/>
      <w:szCs w:val="22"/>
      <w:lang w:eastAsia="en-US"/>
    </w:rPr>
  </w:style>
  <w:style w:type="character" w:styleId="861">
    <w:name w:val="Гиперссылка"/>
    <w:next w:val="861"/>
    <w:link w:val="847"/>
    <w:uiPriority w:val="99"/>
    <w:unhideWhenUsed/>
    <w:rPr>
      <w:color w:val="0000ff"/>
      <w:u w:val="single"/>
    </w:rPr>
  </w:style>
  <w:style w:type="character" w:styleId="862" w:default="1">
    <w:name w:val="Default Paragraph Font"/>
    <w:uiPriority w:val="1"/>
    <w:semiHidden/>
    <w:unhideWhenUsed/>
  </w:style>
  <w:style w:type="numbering" w:styleId="863" w:default="1">
    <w:name w:val="No List"/>
    <w:uiPriority w:val="99"/>
    <w:semiHidden/>
    <w:unhideWhenUsed/>
  </w:style>
  <w:style w:type="table" w:styleId="8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Коргун</dc:creator>
  <cp:revision>7</cp:revision>
  <dcterms:created xsi:type="dcterms:W3CDTF">2023-08-25T08:52:00Z</dcterms:created>
  <dcterms:modified xsi:type="dcterms:W3CDTF">2023-08-28T09:40:44Z</dcterms:modified>
  <cp:version>917504</cp:version>
</cp:coreProperties>
</file>